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outlineLvl w:val="0"/>
        <w:rPr>
          <w:rFonts w:hint="eastAsia" w:ascii="方正仿宋_GBK" w:hAnsi="宋体" w:eastAsia="方正仿宋_GBK"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880" w:firstLineChars="200"/>
        <w:jc w:val="center"/>
        <w:textAlignment w:val="auto"/>
        <w:rPr>
          <w:rFonts w:hint="default" w:ascii="微软雅黑" w:hAnsi="微软雅黑" w:eastAsia="微软雅黑" w:cs="微软雅黑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44"/>
          <w:szCs w:val="44"/>
          <w:highlight w:val="none"/>
          <w:lang w:val="en-US" w:eastAsia="zh-CN"/>
        </w:rPr>
        <w:t>询价公示</w:t>
      </w:r>
    </w:p>
    <w:p>
      <w:pPr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 xml:space="preserve">   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重庆复林招标代理有限公司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（以下简称：采购代理机构）接受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重庆市巴蜀小学校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（以下简称：采购人）的委托，对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校园排危零星维修项目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进行询价采购。欢迎有资格的供应商前来参加报价。</w:t>
      </w:r>
    </w:p>
    <w:p>
      <w:pPr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bookmarkStart w:id="0" w:name="_Toc166053431"/>
      <w:bookmarkStart w:id="1" w:name="_Toc317775175"/>
      <w:bookmarkStart w:id="2" w:name="_Toc18246"/>
      <w:bookmarkStart w:id="3" w:name="_Toc65660330"/>
      <w:bookmarkStart w:id="4" w:name="_Toc26091"/>
      <w:bookmarkStart w:id="5" w:name="_Toc7758"/>
      <w:bookmarkStart w:id="6" w:name="_Toc313893526"/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一、询价内容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1058"/>
        <w:gridCol w:w="1679"/>
        <w:gridCol w:w="1677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27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最高限价（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万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元）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保证金</w:t>
            </w:r>
          </w:p>
          <w:p>
            <w:pPr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（元）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成交供应商数量（名）</w:t>
            </w:r>
          </w:p>
        </w:tc>
        <w:tc>
          <w:tcPr>
            <w:tcW w:w="127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采购标的对应的中小企业划分标准所属行业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7" w:name="_Hlk344477914"/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eastAsia="zh-CN"/>
              </w:rPr>
              <w:t>校园排危零星维修项目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default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000.00</w:t>
            </w:r>
          </w:p>
        </w:tc>
        <w:tc>
          <w:tcPr>
            <w:tcW w:w="10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</w:rPr>
              <w:t>建筑业</w:t>
            </w:r>
          </w:p>
        </w:tc>
      </w:tr>
      <w:bookmarkEnd w:id="7"/>
    </w:tbl>
    <w:p>
      <w:pPr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bookmarkStart w:id="8" w:name="_Toc65660331"/>
      <w:bookmarkStart w:id="9" w:name="_Toc3256"/>
      <w:bookmarkStart w:id="10" w:name="_Toc27028"/>
      <w:bookmarkStart w:id="11" w:name="_Toc166053432"/>
      <w:bookmarkStart w:id="12" w:name="_Toc4424"/>
      <w:bookmarkStart w:id="13" w:name="_Toc373860293"/>
      <w:bookmarkStart w:id="14" w:name="_Toc317775178"/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二、资金来源</w:t>
      </w:r>
      <w:bookmarkEnd w:id="8"/>
      <w:bookmarkEnd w:id="9"/>
      <w:bookmarkEnd w:id="10"/>
      <w:bookmarkEnd w:id="11"/>
      <w:bookmarkEnd w:id="12"/>
    </w:p>
    <w:p>
      <w:pPr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自有资金，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采购预算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20万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元。</w:t>
      </w:r>
    </w:p>
    <w:p>
      <w:pPr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bookmarkStart w:id="15" w:name="_Toc64731996"/>
      <w:bookmarkStart w:id="16" w:name="_Toc65660332"/>
      <w:bookmarkStart w:id="17" w:name="_Toc13541"/>
      <w:bookmarkStart w:id="18" w:name="_Toc18548"/>
      <w:bookmarkStart w:id="19" w:name="_Toc20867"/>
      <w:bookmarkStart w:id="20" w:name="_Toc166053433"/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三、供应商资格条件</w:t>
      </w:r>
      <w:bookmarkEnd w:id="15"/>
      <w:bookmarkEnd w:id="16"/>
      <w:bookmarkEnd w:id="17"/>
      <w:bookmarkEnd w:id="18"/>
      <w:bookmarkEnd w:id="19"/>
      <w:bookmarkEnd w:id="20"/>
    </w:p>
    <w:p>
      <w:pPr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（一）满足《中华人民共和国政府采购法》第二十二条规定；</w:t>
      </w:r>
    </w:p>
    <w:p>
      <w:pPr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（二）落实政府采购政策需满足的资格要求：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本项目专门针对中小企业进行采购</w:t>
      </w:r>
      <w:bookmarkStart w:id="31" w:name="_GoBack"/>
      <w:bookmarkEnd w:id="31"/>
    </w:p>
    <w:p>
      <w:pPr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（三）本项目的特定资格要求：</w:t>
      </w:r>
    </w:p>
    <w:p>
      <w:pPr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bookmarkStart w:id="21" w:name="_Toc11908"/>
      <w:bookmarkStart w:id="22" w:name="_Toc13903"/>
      <w:bookmarkStart w:id="23" w:name="_Toc65660333"/>
      <w:bookmarkStart w:id="24" w:name="_Toc1386"/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1.供应商须具备建设行政主管部门颁发的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建筑装修装饰工程专业承包二级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及以上资质。须提供资质证书复印件并加盖供应商单位公章。</w:t>
      </w:r>
    </w:p>
    <w:p>
      <w:pPr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2.供应商具备建设行政主管部门颁发的有效的安全生产许可证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A证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。须提供安全生产许可证复印件并加盖供应商单位公章。</w:t>
      </w:r>
    </w:p>
    <w:bookmarkEnd w:id="13"/>
    <w:bookmarkEnd w:id="14"/>
    <w:bookmarkEnd w:id="21"/>
    <w:bookmarkEnd w:id="22"/>
    <w:bookmarkEnd w:id="23"/>
    <w:bookmarkEnd w:id="24"/>
    <w:p>
      <w:pPr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3.本项目要求供应商管理团队中有项目主要管理人员（1人1岗）：持有有效证件的项目经理1人（二级建筑师及以上资质），安全员不少于1人，材料员不少于1人，施工员（类别：土建施工员）不少1人，质检员不少于1人，提供人员资质复印件并加盖供应商单位公章。</w:t>
      </w:r>
    </w:p>
    <w:p>
      <w:pPr>
        <w:pStyle w:val="3"/>
        <w:adjustRightInd w:val="0"/>
        <w:snapToGrid w:val="0"/>
        <w:spacing w:before="0" w:after="0" w:line="400" w:lineRule="exact"/>
        <w:ind w:firstLine="482" w:firstLineChars="200"/>
        <w:rPr>
          <w:rFonts w:hint="default" w:ascii="方正仿宋_GBK" w:hAnsi="宋体" w:eastAsia="方正仿宋_GBK"/>
          <w:sz w:val="24"/>
          <w:lang w:val="en-US" w:eastAsia="zh-CN"/>
        </w:rPr>
      </w:pPr>
      <w:r>
        <w:rPr>
          <w:rFonts w:hint="eastAsia" w:ascii="方正仿宋_GBK" w:hAnsi="宋体" w:eastAsia="方正仿宋_GBK"/>
          <w:sz w:val="24"/>
          <w:lang w:val="en-US" w:eastAsia="zh-CN"/>
        </w:rPr>
        <w:t>四、投标保证金</w:t>
      </w:r>
    </w:p>
    <w:p>
      <w:pPr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（一）凡有意参加投标的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，请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在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采购代理机构处领取本项目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询价文件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工程量清单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、澄清等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询价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前公布的所有项目资料，无论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领取与否，均视为已知晓所有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询价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实质性要求内容。</w:t>
      </w:r>
    </w:p>
    <w:p>
      <w:pPr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）报名及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询价文件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发售</w:t>
      </w:r>
    </w:p>
    <w:p>
      <w:pPr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1.报名和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询价文件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发售期：202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 xml:space="preserve">6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 xml:space="preserve"> 17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日-202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 xml:space="preserve"> 6 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 xml:space="preserve"> 20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日17:00（工作时间）</w:t>
      </w:r>
    </w:p>
    <w:p>
      <w:pPr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询价文件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售价：人民币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00元/分包（售后不退）</w:t>
      </w:r>
    </w:p>
    <w:p>
      <w:pPr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2.1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询价文件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购买方式</w:t>
      </w:r>
    </w:p>
    <w:p>
      <w:pPr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2.1.1现金购买</w:t>
      </w:r>
    </w:p>
    <w:p>
      <w:pPr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在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询价文件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发售期内，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到重庆市渝中区创意大厦2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-5室，递交《重庆复林招标代理有限公司采购文件发售登记表》（加盖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公章）并购买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询价文件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。</w:t>
      </w:r>
    </w:p>
    <w:p>
      <w:pPr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2.1.2汇款购买</w:t>
      </w:r>
    </w:p>
    <w:p>
      <w:pPr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instrText xml:space="preserve"> HYPERLINK "mailto:在磋商文件发售期内，供应商将磋商文件购买费用汇至以下账户内进行购买。通过汇款方式购买磋商文件的，将磋商文件汇款凭证（注明项目号）、《采购文件发售登记表》（加盖供应商公章）扫描后发送至*****@**.com（邮箱）。" </w:instrTex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fldChar w:fldCharType="separate"/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在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询价文件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发售期内，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将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询价文件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购买费用汇至以下账户内进行购买。通过汇款方式购买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询价文件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的，将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询价文件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汇款凭证（注明项目号）、《采购文件发售登记表》（加盖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公章）扫描后发送至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fulinzhaobiao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@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163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.com（邮箱）。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fldChar w:fldCharType="end"/>
      </w:r>
    </w:p>
    <w:p>
      <w:pPr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户  名：重庆复林招标代理有限公司</w:t>
      </w:r>
    </w:p>
    <w:p>
      <w:pPr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开户行：中国民生银行股份有限公司重庆解放碑支行</w:t>
      </w:r>
    </w:p>
    <w:p>
      <w:pPr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账  号：693213593</w:t>
      </w:r>
    </w:p>
    <w:p>
      <w:pPr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3.在报名和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询价文件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发售期内完成以上工作的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，其响应文件才被现场接收。</w:t>
      </w:r>
    </w:p>
    <w:p>
      <w:pPr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482" w:leftChars="172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三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）投标地点：重庆市巴蜀小学校（渝中区巴教村15号）圣陶阁5楼</w:t>
      </w:r>
    </w:p>
    <w:p>
      <w:pPr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482" w:leftChars="172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四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）投标截止时间：202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 xml:space="preserve"> 6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 xml:space="preserve"> 21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日北京时间1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0</w:t>
      </w:r>
    </w:p>
    <w:p>
      <w:pPr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五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）开标时间：202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 xml:space="preserve"> 6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 xml:space="preserve"> 21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日北京时间1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0</w:t>
      </w:r>
    </w:p>
    <w:p>
      <w:pPr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六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）开标地点：同投标地点</w:t>
      </w:r>
    </w:p>
    <w:p>
      <w:pPr>
        <w:pStyle w:val="3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color w:val="auto"/>
          <w:sz w:val="24"/>
          <w:highlight w:val="none"/>
          <w:lang w:eastAsia="zh-CN"/>
        </w:rPr>
      </w:pPr>
      <w:bookmarkStart w:id="25" w:name="_Toc11323"/>
      <w:r>
        <w:rPr>
          <w:rFonts w:hint="eastAsia" w:ascii="微软雅黑" w:hAnsi="微软雅黑" w:eastAsia="微软雅黑" w:cs="微软雅黑"/>
          <w:b/>
          <w:color w:val="auto"/>
          <w:sz w:val="24"/>
          <w:highlight w:val="none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b/>
          <w:color w:val="auto"/>
          <w:sz w:val="24"/>
          <w:highlight w:val="none"/>
        </w:rPr>
        <w:t>、</w:t>
      </w:r>
      <w:r>
        <w:rPr>
          <w:rFonts w:hint="eastAsia" w:ascii="微软雅黑" w:hAnsi="微软雅黑" w:eastAsia="微软雅黑" w:cs="微软雅黑"/>
          <w:b/>
          <w:color w:val="auto"/>
          <w:sz w:val="24"/>
          <w:highlight w:val="none"/>
          <w:lang w:eastAsia="zh-CN"/>
        </w:rPr>
        <w:t>询价申请有关规定</w:t>
      </w:r>
      <w:bookmarkEnd w:id="25"/>
    </w:p>
    <w:p>
      <w:pPr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（一）单位负责人为同一人或者存在直接控股、管理关系的不同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，不得参加同一合同项（包）下的政府采购活动。</w:t>
      </w:r>
    </w:p>
    <w:p>
      <w:pPr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（二）为采购项目提供整体设计、规范编制或者项目管理、监理、检测等服务的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，不得再参加该采购项目的其他采购活动。</w:t>
      </w:r>
    </w:p>
    <w:p>
      <w:pPr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（三）本项目若有澄清文件一律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在重庆市巴蜀小学校官网（http://bsy.cqcdbs.cn/xxcms/ggl/index.jhtml）公告栏下载或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到采购代理机构领取；无论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供应商下载或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领取与否，均视同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已知晓本项目澄清文件的内容。</w:t>
      </w:r>
    </w:p>
    <w:p>
      <w:pPr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（四）超过投标截止时间递交的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竞选文件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，恕不接收。</w:t>
      </w:r>
    </w:p>
    <w:p>
      <w:pPr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（五）投标费用：无论投标结果如何，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参与本项目投标的所有费用均应由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自行承担。</w:t>
      </w:r>
    </w:p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eastAsia="zh-CN"/>
        </w:rPr>
        <w:t>六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</w:rPr>
        <w:t>）本项目不接受联合体参与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eastAsia="zh-CN"/>
        </w:rPr>
        <w:t>询价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</w:rPr>
        <w:t>，否则按无效处理。</w:t>
      </w:r>
    </w:p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eastAsia="zh-CN"/>
        </w:rPr>
        <w:t>七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</w:rPr>
        <w:t>）本项目不接受合同分包，否则按无效处理。</w:t>
      </w:r>
    </w:p>
    <w:p>
      <w:pPr>
        <w:pStyle w:val="3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color w:val="auto"/>
          <w:sz w:val="24"/>
          <w:highlight w:val="none"/>
        </w:rPr>
      </w:pPr>
      <w:bookmarkStart w:id="26" w:name="_Toc5766"/>
      <w:r>
        <w:rPr>
          <w:rFonts w:hint="eastAsia" w:ascii="微软雅黑" w:hAnsi="微软雅黑" w:eastAsia="微软雅黑" w:cs="微软雅黑"/>
          <w:b/>
          <w:color w:val="auto"/>
          <w:sz w:val="24"/>
          <w:highlight w:val="none"/>
          <w:lang w:eastAsia="zh-CN"/>
        </w:rPr>
        <w:t>七</w:t>
      </w:r>
      <w:r>
        <w:rPr>
          <w:rFonts w:hint="eastAsia" w:ascii="微软雅黑" w:hAnsi="微软雅黑" w:eastAsia="微软雅黑" w:cs="微软雅黑"/>
          <w:b/>
          <w:color w:val="auto"/>
          <w:sz w:val="24"/>
          <w:highlight w:val="none"/>
        </w:rPr>
        <w:t>、联系方式</w:t>
      </w:r>
      <w:bookmarkEnd w:id="26"/>
    </w:p>
    <w:p>
      <w:pPr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（一）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询价人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重庆市巴蜀小学校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960" w:firstLineChars="4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联系人：</w:t>
      </w:r>
      <w:bookmarkStart w:id="27" w:name="_Toc7527"/>
      <w:bookmarkStart w:id="28" w:name="_Toc654"/>
      <w:bookmarkStart w:id="29" w:name="_Toc18799"/>
      <w:bookmarkStart w:id="30" w:name="_Toc28099"/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何然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960" w:firstLineChars="4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电  话：18716688908</w:t>
      </w:r>
    </w:p>
    <w:p>
      <w:pPr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960" w:firstLineChars="4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地  址：重庆市巴蜀小学校（渝中区巴教村15号）</w:t>
      </w:r>
    </w:p>
    <w:bookmarkEnd w:id="27"/>
    <w:bookmarkEnd w:id="28"/>
    <w:bookmarkEnd w:id="29"/>
    <w:bookmarkEnd w:id="30"/>
    <w:p>
      <w:pPr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（二）代理机构：重庆复林招标代理有限公司</w:t>
      </w:r>
    </w:p>
    <w:p>
      <w:pPr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left="846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联系人：张蕾</w:t>
      </w:r>
    </w:p>
    <w:p>
      <w:pPr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left="846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电  话：023-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63326460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 xml:space="preserve"> 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15223228105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 xml:space="preserve"> </w:t>
      </w:r>
    </w:p>
    <w:p>
      <w:pPr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left="846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地  址：重庆市渝中区创意大厦2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-5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/>
        </w:rPr>
        <w:br w:type="page"/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重庆复林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招标代理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有限公司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采购文件发售登记表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b/>
          <w:bCs/>
          <w:spacing w:val="40"/>
        </w:rPr>
      </w:pPr>
    </w:p>
    <w:tbl>
      <w:tblPr>
        <w:tblStyle w:val="6"/>
        <w:tblW w:w="933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2670"/>
        <w:gridCol w:w="1617"/>
        <w:gridCol w:w="326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78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项目号</w:t>
            </w:r>
          </w:p>
        </w:tc>
        <w:tc>
          <w:tcPr>
            <w:tcW w:w="7552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78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项目名称</w:t>
            </w:r>
          </w:p>
        </w:tc>
        <w:tc>
          <w:tcPr>
            <w:tcW w:w="7552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78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投标人名称</w:t>
            </w:r>
          </w:p>
        </w:tc>
        <w:tc>
          <w:tcPr>
            <w:tcW w:w="7552" w:type="dxa"/>
            <w:gridSpan w:val="3"/>
            <w:noWrap w:val="0"/>
            <w:vAlign w:val="bottom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righ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（投标人公章）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78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联系人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手机</w:t>
            </w:r>
          </w:p>
        </w:tc>
        <w:tc>
          <w:tcPr>
            <w:tcW w:w="326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78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办公电话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传真</w:t>
            </w:r>
          </w:p>
        </w:tc>
        <w:tc>
          <w:tcPr>
            <w:tcW w:w="326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78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E-mail</w:t>
            </w:r>
          </w:p>
        </w:tc>
        <w:tc>
          <w:tcPr>
            <w:tcW w:w="7552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78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单位地址</w:t>
            </w:r>
          </w:p>
        </w:tc>
        <w:tc>
          <w:tcPr>
            <w:tcW w:w="7552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78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号</w:t>
            </w:r>
          </w:p>
        </w:tc>
        <w:tc>
          <w:tcPr>
            <w:tcW w:w="7552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名称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78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7552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8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7552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8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7552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8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7552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339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购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号为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的标书，共计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元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微软雅黑" w:hAnsi="微软雅黑" w:eastAsia="微软雅黑" w:cs="微软雅黑"/>
          <w:sz w:val="24"/>
        </w:rPr>
      </w:pPr>
    </w:p>
    <w:p>
      <w:r>
        <w:rPr>
          <w:rFonts w:hint="eastAsia" w:ascii="微软雅黑" w:hAnsi="微软雅黑" w:eastAsia="微软雅黑" w:cs="微软雅黑"/>
          <w:sz w:val="24"/>
          <w:lang w:val="en-US" w:eastAsia="zh-CN"/>
        </w:rPr>
        <w:t xml:space="preserve">                                           </w:t>
      </w:r>
      <w:r>
        <w:rPr>
          <w:rFonts w:hint="eastAsia" w:ascii="微软雅黑" w:hAnsi="微软雅黑" w:eastAsia="微软雅黑" w:cs="微软雅黑"/>
          <w:sz w:val="24"/>
        </w:rPr>
        <w:t xml:space="preserve">           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ZGI1Yzg3ZGQ3NzIzNjJhZTBhY2NmYzkxZTRkZTIifQ=="/>
  </w:docVars>
  <w:rsids>
    <w:rsidRoot w:val="00000000"/>
    <w:rsid w:val="05DF5BE9"/>
    <w:rsid w:val="22B0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4">
    <w:name w:val="Body Text Indent 2"/>
    <w:basedOn w:val="1"/>
    <w:uiPriority w:val="0"/>
    <w:pPr>
      <w:snapToGrid w:val="0"/>
      <w:spacing w:line="560" w:lineRule="atLeast"/>
      <w:ind w:firstLine="540"/>
    </w:pPr>
  </w:style>
  <w:style w:type="paragraph" w:styleId="5">
    <w:name w:val="Balloon Text"/>
    <w:basedOn w:val="1"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2024-06-17T08:54:00Z</dcterms:created>
  <dc:creator>hp</dc:creator>
  <cp:lastModifiedBy>代理</cp:lastModifiedBy>
  <dcterms:modified xsi:type="dcterms:W3CDTF">2024-06-17T09:13:40Z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136D353496B94BD3B52067F78C51B070_13</vt:lpwstr>
  </property>
</Properties>
</file>