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5EDF8">
      <w:pPr>
        <w:pStyle w:val="4"/>
        <w:spacing w:line="360" w:lineRule="auto"/>
        <w:jc w:val="center"/>
        <w:outlineLvl w:val="0"/>
        <w:rPr>
          <w:rFonts w:hint="eastAsia" w:ascii="宋体" w:hAnsi="宋体" w:eastAsia="宋体" w:cs="宋体"/>
          <w:bCs w:val="0"/>
          <w:color w:val="auto"/>
          <w:kern w:val="0"/>
          <w:sz w:val="36"/>
          <w:szCs w:val="36"/>
        </w:rPr>
      </w:pPr>
      <w:r>
        <w:rPr>
          <w:rFonts w:hint="eastAsia" w:ascii="宋体" w:hAnsi="宋体" w:cs="宋体"/>
          <w:bCs w:val="0"/>
          <w:color w:val="auto"/>
          <w:kern w:val="0"/>
          <w:sz w:val="36"/>
          <w:szCs w:val="36"/>
          <w:lang w:val="en-US" w:eastAsia="zh-CN"/>
        </w:rPr>
        <w:t>巴蜀小学梦想剧场改造及周边环境综合整治工程方案设计询价</w:t>
      </w:r>
      <w:r>
        <w:rPr>
          <w:rFonts w:hint="eastAsia" w:ascii="宋体" w:hAnsi="宋体" w:eastAsia="宋体" w:cs="宋体"/>
          <w:bCs w:val="0"/>
          <w:color w:val="auto"/>
          <w:kern w:val="0"/>
          <w:sz w:val="36"/>
          <w:szCs w:val="36"/>
        </w:rPr>
        <w:t>公告</w:t>
      </w:r>
    </w:p>
    <w:p w14:paraId="249BB882">
      <w:pPr>
        <w:keepNext/>
        <w:keepLines/>
        <w:widowControl w:val="0"/>
        <w:spacing w:line="360" w:lineRule="auto"/>
        <w:outlineLvl w:val="1"/>
        <w:rPr>
          <w:rFonts w:hint="eastAsia" w:ascii="宋体" w:hAnsi="宋体" w:eastAsia="宋体" w:cs="宋体"/>
          <w:b/>
          <w:bCs/>
          <w:snapToGrid w:val="0"/>
          <w:color w:val="auto"/>
          <w:sz w:val="24"/>
          <w:szCs w:val="24"/>
        </w:rPr>
      </w:pPr>
      <w:bookmarkStart w:id="0" w:name="_Toc224103299"/>
      <w:bookmarkStart w:id="1" w:name="_Toc200359427"/>
      <w:bookmarkStart w:id="2" w:name="_Toc15143"/>
      <w:bookmarkStart w:id="3" w:name="_Toc12839"/>
      <w:bookmarkStart w:id="4" w:name="_Toc421694712"/>
      <w:bookmarkStart w:id="5" w:name="_Toc374950896"/>
      <w:bookmarkStart w:id="6" w:name="_Toc287607728"/>
      <w:bookmarkStart w:id="7" w:name="_Toc277082536"/>
      <w:bookmarkStart w:id="8" w:name="_Toc200359238"/>
      <w:bookmarkStart w:id="9" w:name="_Toc388611519"/>
      <w:bookmarkStart w:id="10" w:name="_Toc347847757"/>
      <w:bookmarkStart w:id="11" w:name="_Toc14107"/>
      <w:r>
        <w:rPr>
          <w:rFonts w:hint="eastAsia" w:ascii="宋体" w:hAnsi="宋体" w:eastAsia="宋体" w:cs="宋体"/>
          <w:b/>
          <w:bCs/>
          <w:snapToGrid w:val="0"/>
          <w:color w:val="auto"/>
          <w:sz w:val="24"/>
          <w:szCs w:val="24"/>
        </w:rPr>
        <w:t>1、比选条件</w:t>
      </w:r>
      <w:bookmarkEnd w:id="0"/>
      <w:bookmarkEnd w:id="1"/>
      <w:bookmarkEnd w:id="2"/>
      <w:bookmarkEnd w:id="3"/>
      <w:bookmarkEnd w:id="4"/>
      <w:bookmarkEnd w:id="5"/>
      <w:bookmarkEnd w:id="6"/>
      <w:bookmarkEnd w:id="7"/>
      <w:bookmarkEnd w:id="8"/>
      <w:bookmarkEnd w:id="9"/>
      <w:bookmarkEnd w:id="10"/>
      <w:bookmarkEnd w:id="11"/>
    </w:p>
    <w:p w14:paraId="7317507A">
      <w:pPr>
        <w:widowControl/>
        <w:spacing w:line="360" w:lineRule="auto"/>
        <w:ind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巴蜀小学梦想剧场改造及周边环境综合整治工程方案设计项目已具备比选条件，项目业主为</w:t>
      </w:r>
      <w:r>
        <w:rPr>
          <w:rFonts w:hint="eastAsia" w:ascii="宋体" w:hAnsi="宋体" w:cs="宋体"/>
          <w:snapToGrid w:val="0"/>
          <w:color w:val="auto"/>
          <w:kern w:val="0"/>
          <w:sz w:val="24"/>
          <w:szCs w:val="24"/>
          <w:lang w:eastAsia="zh-CN"/>
        </w:rPr>
        <w:t>重庆市巴蜀小学校</w:t>
      </w:r>
      <w:r>
        <w:rPr>
          <w:rFonts w:hint="eastAsia" w:ascii="宋体" w:hAnsi="宋体" w:eastAsia="宋体" w:cs="宋体"/>
          <w:snapToGrid w:val="0"/>
          <w:color w:val="auto"/>
          <w:kern w:val="0"/>
          <w:sz w:val="24"/>
          <w:szCs w:val="24"/>
        </w:rPr>
        <w:t>，现特邀请有兴趣的潜在</w:t>
      </w:r>
      <w:r>
        <w:rPr>
          <w:rFonts w:hint="eastAsia" w:ascii="宋体" w:hAnsi="宋体" w:cs="宋体"/>
          <w:snapToGrid w:val="0"/>
          <w:color w:val="auto"/>
          <w:kern w:val="0"/>
          <w:sz w:val="24"/>
          <w:szCs w:val="24"/>
          <w:lang w:val="en-US" w:eastAsia="zh-CN"/>
        </w:rPr>
        <w:t>报价人</w:t>
      </w:r>
      <w:r>
        <w:rPr>
          <w:rFonts w:hint="eastAsia" w:ascii="宋体" w:hAnsi="宋体" w:eastAsia="宋体" w:cs="宋体"/>
          <w:snapToGrid w:val="0"/>
          <w:color w:val="auto"/>
          <w:kern w:val="0"/>
          <w:sz w:val="24"/>
          <w:szCs w:val="24"/>
        </w:rPr>
        <w:t>参与</w:t>
      </w:r>
      <w:r>
        <w:rPr>
          <w:rFonts w:hint="eastAsia" w:ascii="宋体" w:hAnsi="宋体" w:cs="宋体"/>
          <w:snapToGrid w:val="0"/>
          <w:color w:val="auto"/>
          <w:kern w:val="0"/>
          <w:sz w:val="24"/>
          <w:szCs w:val="24"/>
          <w:lang w:val="en-US" w:eastAsia="zh-CN"/>
        </w:rPr>
        <w:t>报价</w:t>
      </w:r>
      <w:r>
        <w:rPr>
          <w:rFonts w:hint="eastAsia" w:ascii="宋体" w:hAnsi="宋体" w:eastAsia="宋体" w:cs="宋体"/>
          <w:snapToGrid w:val="0"/>
          <w:color w:val="auto"/>
          <w:kern w:val="0"/>
          <w:sz w:val="24"/>
          <w:szCs w:val="24"/>
        </w:rPr>
        <w:t>。</w:t>
      </w:r>
    </w:p>
    <w:p w14:paraId="1132A818">
      <w:pPr>
        <w:keepNext/>
        <w:keepLines/>
        <w:widowControl w:val="0"/>
        <w:spacing w:line="360" w:lineRule="auto"/>
        <w:outlineLvl w:val="1"/>
        <w:rPr>
          <w:rFonts w:hint="eastAsia" w:ascii="宋体" w:hAnsi="宋体" w:eastAsia="宋体" w:cs="宋体"/>
          <w:b/>
          <w:bCs/>
          <w:snapToGrid w:val="0"/>
          <w:color w:val="auto"/>
          <w:sz w:val="24"/>
          <w:szCs w:val="24"/>
        </w:rPr>
      </w:pPr>
      <w:bookmarkStart w:id="12" w:name="_Toc421694713"/>
      <w:bookmarkStart w:id="13" w:name="_Toc287607729"/>
      <w:bookmarkStart w:id="14" w:name="_Toc347847758"/>
      <w:bookmarkStart w:id="15" w:name="_Toc224103300"/>
      <w:bookmarkStart w:id="16" w:name="_Toc374950897"/>
      <w:bookmarkStart w:id="17" w:name="_Toc200359428"/>
      <w:bookmarkStart w:id="18" w:name="_Toc3994"/>
      <w:bookmarkStart w:id="19" w:name="_Toc277082537"/>
      <w:bookmarkStart w:id="20" w:name="_Toc5882"/>
      <w:bookmarkStart w:id="21" w:name="_Toc200359239"/>
      <w:bookmarkStart w:id="22" w:name="_Toc388611520"/>
      <w:bookmarkStart w:id="23" w:name="_Toc16964"/>
      <w:r>
        <w:rPr>
          <w:rFonts w:hint="eastAsia" w:ascii="宋体" w:hAnsi="宋体" w:eastAsia="宋体" w:cs="宋体"/>
          <w:b/>
          <w:bCs/>
          <w:snapToGrid w:val="0"/>
          <w:color w:val="auto"/>
          <w:sz w:val="24"/>
          <w:szCs w:val="24"/>
        </w:rPr>
        <w:t>2、项目概况与比选范围</w:t>
      </w:r>
      <w:bookmarkEnd w:id="12"/>
      <w:bookmarkEnd w:id="13"/>
      <w:bookmarkEnd w:id="14"/>
      <w:bookmarkEnd w:id="15"/>
      <w:bookmarkEnd w:id="16"/>
      <w:bookmarkEnd w:id="17"/>
      <w:bookmarkEnd w:id="18"/>
      <w:bookmarkEnd w:id="19"/>
      <w:bookmarkEnd w:id="20"/>
      <w:bookmarkEnd w:id="21"/>
      <w:bookmarkEnd w:id="22"/>
      <w:bookmarkEnd w:id="23"/>
    </w:p>
    <w:p w14:paraId="45F3E298">
      <w:pPr>
        <w:widowControl/>
        <w:spacing w:line="360" w:lineRule="auto"/>
        <w:ind w:firstLine="480" w:firstLineChars="200"/>
        <w:jc w:val="left"/>
        <w:rPr>
          <w:rFonts w:hint="eastAsia" w:ascii="宋体" w:hAnsi="宋体" w:cs="宋体"/>
          <w:snapToGrid w:val="0"/>
          <w:color w:val="auto"/>
          <w:kern w:val="0"/>
          <w:sz w:val="24"/>
          <w:szCs w:val="24"/>
          <w:lang w:eastAsia="zh-CN"/>
        </w:rPr>
      </w:pPr>
      <w:bookmarkStart w:id="24" w:name="_Toc2016"/>
      <w:bookmarkStart w:id="25" w:name="_Toc19468"/>
      <w:bookmarkStart w:id="26" w:name="_Toc421694718"/>
      <w:bookmarkStart w:id="27" w:name="_Toc9096"/>
      <w:bookmarkStart w:id="28" w:name="_Toc3649"/>
      <w:r>
        <w:rPr>
          <w:rFonts w:hint="eastAsia" w:ascii="宋体" w:hAnsi="宋体" w:eastAsia="宋体" w:cs="宋体"/>
          <w:snapToGrid w:val="0"/>
          <w:color w:val="auto"/>
          <w:kern w:val="0"/>
          <w:sz w:val="24"/>
          <w:szCs w:val="24"/>
        </w:rPr>
        <w:t>2.1 项目名称：</w:t>
      </w:r>
      <w:r>
        <w:rPr>
          <w:rFonts w:hint="eastAsia" w:ascii="宋体" w:hAnsi="宋体" w:cs="宋体"/>
          <w:snapToGrid w:val="0"/>
          <w:color w:val="auto"/>
          <w:kern w:val="0"/>
          <w:sz w:val="24"/>
          <w:szCs w:val="24"/>
          <w:lang w:eastAsia="zh-CN"/>
        </w:rPr>
        <w:t>巴蜀小学梦想剧场改造及周边环境综合整治工程方案设计</w:t>
      </w:r>
    </w:p>
    <w:p w14:paraId="5DD69EBD">
      <w:pPr>
        <w:widowControl/>
        <w:spacing w:line="360" w:lineRule="auto"/>
        <w:ind w:firstLine="480" w:firstLineChars="200"/>
        <w:jc w:val="left"/>
        <w:rPr>
          <w:rFonts w:hint="eastAsia" w:ascii="宋体" w:hAnsi="宋体" w:eastAsia="宋体" w:cs="宋体"/>
          <w:snapToGrid w:val="0"/>
          <w:color w:val="auto"/>
          <w:kern w:val="0"/>
          <w:sz w:val="24"/>
          <w:szCs w:val="24"/>
          <w:u w:val="none"/>
          <w:lang w:val="en-US" w:eastAsia="zh-CN"/>
        </w:rPr>
      </w:pPr>
      <w:r>
        <w:rPr>
          <w:rFonts w:hint="eastAsia" w:ascii="宋体" w:hAnsi="宋体" w:eastAsia="宋体" w:cs="宋体"/>
          <w:snapToGrid w:val="0"/>
          <w:color w:val="auto"/>
          <w:kern w:val="0"/>
          <w:sz w:val="24"/>
          <w:szCs w:val="24"/>
        </w:rPr>
        <w:t>2.2 建设地点：</w:t>
      </w:r>
      <w:r>
        <w:rPr>
          <w:rFonts w:hint="eastAsia" w:ascii="宋体" w:hAnsi="宋体" w:eastAsia="宋体" w:cs="宋体"/>
          <w:color w:val="auto"/>
          <w:sz w:val="24"/>
          <w:szCs w:val="24"/>
          <w:u w:val="none"/>
        </w:rPr>
        <w:t>重庆市渝中区</w:t>
      </w:r>
    </w:p>
    <w:p w14:paraId="455D4033">
      <w:pPr>
        <w:widowControl/>
        <w:spacing w:line="360" w:lineRule="auto"/>
        <w:ind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2.3 建设内容及规模：</w:t>
      </w:r>
    </w:p>
    <w:p w14:paraId="2C0A3F53">
      <w:pPr>
        <w:widowControl/>
        <w:spacing w:line="360" w:lineRule="auto"/>
        <w:ind w:firstLine="480" w:firstLineChars="200"/>
        <w:jc w:val="left"/>
        <w:rPr>
          <w:rFonts w:hint="eastAsia" w:ascii="宋体" w:hAnsi="宋体" w:eastAsia="宋体" w:cs="宋体"/>
          <w:snapToGrid w:val="0"/>
          <w:color w:val="auto"/>
          <w:kern w:val="0"/>
          <w:sz w:val="24"/>
          <w:szCs w:val="24"/>
        </w:rPr>
      </w:pPr>
      <w:r>
        <w:rPr>
          <w:rFonts w:hint="eastAsia" w:ascii="宋体" w:hAnsi="宋体" w:cs="宋体"/>
          <w:snapToGrid w:val="0"/>
          <w:color w:val="auto"/>
          <w:kern w:val="0"/>
          <w:sz w:val="24"/>
          <w:szCs w:val="24"/>
          <w:lang w:val="en-US" w:eastAsia="zh-CN"/>
        </w:rPr>
        <w:t>2.3.1</w:t>
      </w:r>
      <w:r>
        <w:rPr>
          <w:rFonts w:hint="eastAsia" w:ascii="宋体" w:hAnsi="宋体" w:eastAsia="宋体" w:cs="宋体"/>
          <w:snapToGrid w:val="0"/>
          <w:color w:val="auto"/>
          <w:kern w:val="0"/>
          <w:sz w:val="24"/>
          <w:szCs w:val="24"/>
        </w:rPr>
        <w:t>诱诲堂建筑外立面及室内改造，改造后使用为功能室及剧场，产权总建筑面积为5294.45㎡，实施改造建筑面积约为4720㎡；建筑层数共计6F,其中：地上5F（1F—4F为功能室，5F为剧场）；地下1F（负1F不做调整）。本栋改造范围含室内改造、综合管网更新改造，建筑结构加固、屋顶拆除、新增电梯等改造内容。</w:t>
      </w:r>
    </w:p>
    <w:p w14:paraId="13DDFDF9">
      <w:pPr>
        <w:widowControl/>
        <w:spacing w:line="360" w:lineRule="auto"/>
        <w:ind w:firstLine="480" w:firstLineChars="200"/>
        <w:jc w:val="left"/>
        <w:rPr>
          <w:rFonts w:hint="eastAsia" w:ascii="宋体" w:hAnsi="宋体" w:eastAsia="宋体" w:cs="宋体"/>
          <w:snapToGrid w:val="0"/>
          <w:color w:val="auto"/>
          <w:kern w:val="0"/>
          <w:sz w:val="24"/>
          <w:szCs w:val="24"/>
        </w:rPr>
      </w:pPr>
      <w:r>
        <w:rPr>
          <w:rFonts w:hint="eastAsia" w:ascii="宋体" w:hAnsi="宋体" w:cs="宋体"/>
          <w:snapToGrid w:val="0"/>
          <w:color w:val="auto"/>
          <w:kern w:val="0"/>
          <w:sz w:val="24"/>
          <w:szCs w:val="24"/>
          <w:lang w:val="en-US" w:eastAsia="zh-CN"/>
        </w:rPr>
        <w:t>2.3.2</w:t>
      </w:r>
      <w:r>
        <w:rPr>
          <w:rFonts w:hint="eastAsia" w:ascii="宋体" w:hAnsi="宋体" w:eastAsia="宋体" w:cs="宋体"/>
          <w:snapToGrid w:val="0"/>
          <w:color w:val="auto"/>
          <w:kern w:val="0"/>
          <w:sz w:val="24"/>
          <w:szCs w:val="24"/>
        </w:rPr>
        <w:t>勖成馆室内改造，改造后使用功能为教学用房，产权总建筑面积为4795.70㎡，实施改造建筑面积约为3650㎡；建筑层数共计7F，其中：地上5F（1—5F教学用房）；地下2F（负1F—负2F不做调整）。本栋改造范围含室内改造、综合管网更新改造、建筑结构加固等内容。</w:t>
      </w:r>
    </w:p>
    <w:p w14:paraId="5DF1402B">
      <w:pPr>
        <w:widowControl/>
        <w:spacing w:line="360" w:lineRule="auto"/>
        <w:ind w:firstLine="480" w:firstLineChars="200"/>
        <w:jc w:val="left"/>
        <w:rPr>
          <w:rFonts w:hint="eastAsia" w:ascii="宋体" w:hAnsi="宋体" w:eastAsia="宋体" w:cs="宋体"/>
          <w:snapToGrid w:val="0"/>
          <w:color w:val="auto"/>
          <w:kern w:val="0"/>
          <w:sz w:val="24"/>
          <w:szCs w:val="24"/>
        </w:rPr>
      </w:pPr>
      <w:r>
        <w:rPr>
          <w:rFonts w:hint="eastAsia" w:ascii="宋体" w:hAnsi="宋体" w:cs="宋体"/>
          <w:snapToGrid w:val="0"/>
          <w:color w:val="auto"/>
          <w:kern w:val="0"/>
          <w:sz w:val="24"/>
          <w:szCs w:val="24"/>
          <w:lang w:val="en-US" w:eastAsia="zh-CN"/>
        </w:rPr>
        <w:t>2.3.3</w:t>
      </w:r>
      <w:r>
        <w:rPr>
          <w:rFonts w:hint="eastAsia" w:ascii="宋体" w:hAnsi="宋体" w:eastAsia="宋体" w:cs="宋体"/>
          <w:snapToGrid w:val="0"/>
          <w:color w:val="auto"/>
          <w:kern w:val="0"/>
          <w:sz w:val="24"/>
          <w:szCs w:val="24"/>
        </w:rPr>
        <w:t>诱诲堂及勖成馆周边环境综合整治提升改造面积约为1000㎡，含新增室外疏散平台，环境改造等内容。</w:t>
      </w:r>
    </w:p>
    <w:p w14:paraId="1FAC169E">
      <w:pPr>
        <w:widowControl/>
        <w:spacing w:line="360" w:lineRule="auto"/>
        <w:ind w:firstLine="480" w:firstLineChars="200"/>
        <w:jc w:val="left"/>
        <w:rPr>
          <w:rFonts w:hint="eastAsia" w:ascii="宋体" w:hAnsi="宋体" w:eastAsia="宋体" w:cs="宋体"/>
          <w:snapToGrid w:val="0"/>
          <w:color w:val="auto"/>
          <w:kern w:val="0"/>
          <w:sz w:val="24"/>
          <w:szCs w:val="24"/>
        </w:rPr>
      </w:pPr>
      <w:r>
        <w:rPr>
          <w:rFonts w:hint="eastAsia" w:ascii="宋体" w:hAnsi="宋体" w:cs="宋体"/>
          <w:snapToGrid w:val="0"/>
          <w:color w:val="auto"/>
          <w:kern w:val="0"/>
          <w:sz w:val="24"/>
          <w:szCs w:val="24"/>
          <w:lang w:val="en-US" w:eastAsia="zh-CN"/>
        </w:rPr>
        <w:t>2.4</w:t>
      </w:r>
      <w:r>
        <w:rPr>
          <w:rFonts w:hint="eastAsia" w:ascii="宋体" w:hAnsi="宋体" w:eastAsia="宋体" w:cs="宋体"/>
          <w:snapToGrid w:val="0"/>
          <w:color w:val="auto"/>
          <w:kern w:val="0"/>
          <w:sz w:val="24"/>
          <w:szCs w:val="24"/>
        </w:rPr>
        <w:t>本项目工程总投资造价约为3988万元，其中一类工程费用约为3350万元。</w:t>
      </w:r>
    </w:p>
    <w:p w14:paraId="6D683B16">
      <w:pPr>
        <w:widowControl/>
        <w:spacing w:line="360" w:lineRule="auto"/>
        <w:ind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w:t>
      </w:r>
      <w:r>
        <w:rPr>
          <w:rFonts w:hint="eastAsia" w:ascii="宋体" w:hAnsi="宋体" w:cs="宋体"/>
          <w:snapToGrid w:val="0"/>
          <w:color w:val="auto"/>
          <w:kern w:val="0"/>
          <w:sz w:val="24"/>
          <w:szCs w:val="24"/>
          <w:lang w:val="en-US" w:eastAsia="zh-CN"/>
        </w:rPr>
        <w:t>5</w:t>
      </w:r>
      <w:r>
        <w:rPr>
          <w:rFonts w:hint="eastAsia" w:ascii="宋体" w:hAnsi="宋体" w:eastAsia="宋体" w:cs="宋体"/>
          <w:snapToGrid w:val="0"/>
          <w:color w:val="auto"/>
          <w:kern w:val="0"/>
          <w:sz w:val="24"/>
          <w:szCs w:val="24"/>
        </w:rPr>
        <w:t xml:space="preserve"> </w:t>
      </w:r>
      <w:r>
        <w:rPr>
          <w:rFonts w:hint="eastAsia" w:ascii="宋体" w:hAnsi="宋体" w:cs="宋体"/>
          <w:snapToGrid w:val="0"/>
          <w:color w:val="auto"/>
          <w:kern w:val="0"/>
          <w:sz w:val="24"/>
          <w:szCs w:val="24"/>
          <w:lang w:val="en-US" w:eastAsia="zh-CN"/>
        </w:rPr>
        <w:t>采购</w:t>
      </w:r>
      <w:r>
        <w:rPr>
          <w:rFonts w:hint="eastAsia" w:ascii="宋体" w:hAnsi="宋体" w:eastAsia="宋体" w:cs="宋体"/>
          <w:snapToGrid w:val="0"/>
          <w:color w:val="auto"/>
          <w:kern w:val="0"/>
          <w:sz w:val="24"/>
          <w:szCs w:val="24"/>
        </w:rPr>
        <w:t>范围：按相关规定及业主要求编制方案设计且</w:t>
      </w:r>
      <w:r>
        <w:rPr>
          <w:rFonts w:hint="eastAsia" w:ascii="宋体" w:hAnsi="宋体" w:cs="宋体"/>
          <w:snapToGrid w:val="0"/>
          <w:color w:val="auto"/>
          <w:kern w:val="0"/>
          <w:sz w:val="24"/>
          <w:szCs w:val="24"/>
          <w:lang w:val="en-US" w:eastAsia="zh-CN"/>
        </w:rPr>
        <w:t>经采购人确认</w:t>
      </w:r>
      <w:r>
        <w:rPr>
          <w:rFonts w:hint="eastAsia" w:ascii="宋体" w:hAnsi="宋体" w:eastAsia="宋体" w:cs="宋体"/>
          <w:snapToGrid w:val="0"/>
          <w:color w:val="auto"/>
          <w:kern w:val="0"/>
          <w:sz w:val="24"/>
          <w:szCs w:val="24"/>
        </w:rPr>
        <w:t>；并协助</w:t>
      </w:r>
      <w:r>
        <w:rPr>
          <w:rFonts w:hint="eastAsia" w:ascii="宋体" w:hAnsi="宋体" w:cs="宋体"/>
          <w:snapToGrid w:val="0"/>
          <w:color w:val="auto"/>
          <w:kern w:val="0"/>
          <w:sz w:val="24"/>
          <w:szCs w:val="24"/>
          <w:lang w:val="en-US" w:eastAsia="zh-CN"/>
        </w:rPr>
        <w:t>采购</w:t>
      </w:r>
      <w:r>
        <w:rPr>
          <w:rFonts w:hint="eastAsia" w:ascii="宋体" w:hAnsi="宋体" w:eastAsia="宋体" w:cs="宋体"/>
          <w:snapToGrid w:val="0"/>
          <w:color w:val="auto"/>
          <w:kern w:val="0"/>
          <w:sz w:val="24"/>
          <w:szCs w:val="24"/>
        </w:rPr>
        <w:t>人及时完成各项审批手续办理。</w:t>
      </w:r>
    </w:p>
    <w:p w14:paraId="54747D0E">
      <w:pPr>
        <w:widowControl/>
        <w:spacing w:line="360" w:lineRule="auto"/>
        <w:ind w:firstLine="480" w:firstLineChars="200"/>
        <w:jc w:val="left"/>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rPr>
        <w:t>2.</w:t>
      </w:r>
      <w:r>
        <w:rPr>
          <w:rFonts w:hint="eastAsia" w:ascii="宋体" w:hAnsi="宋体" w:cs="宋体"/>
          <w:snapToGrid w:val="0"/>
          <w:color w:val="auto"/>
          <w:kern w:val="0"/>
          <w:sz w:val="24"/>
          <w:szCs w:val="24"/>
          <w:lang w:val="en-US" w:eastAsia="zh-CN"/>
        </w:rPr>
        <w:t>6</w:t>
      </w:r>
      <w:r>
        <w:rPr>
          <w:rFonts w:hint="eastAsia" w:ascii="宋体" w:hAnsi="宋体" w:eastAsia="宋体" w:cs="宋体"/>
          <w:snapToGrid w:val="0"/>
          <w:color w:val="auto"/>
          <w:kern w:val="0"/>
          <w:sz w:val="24"/>
          <w:szCs w:val="24"/>
        </w:rPr>
        <w:t xml:space="preserve"> 设计服务期限：合同签订后</w:t>
      </w:r>
      <w:r>
        <w:rPr>
          <w:rFonts w:hint="eastAsia" w:ascii="宋体" w:hAnsi="宋体" w:cs="宋体"/>
          <w:snapToGrid w:val="0"/>
          <w:color w:val="auto"/>
          <w:kern w:val="0"/>
          <w:sz w:val="24"/>
          <w:szCs w:val="24"/>
          <w:lang w:val="en-US" w:eastAsia="zh-CN"/>
        </w:rPr>
        <w:t>30</w:t>
      </w:r>
      <w:r>
        <w:rPr>
          <w:rFonts w:hint="eastAsia" w:ascii="宋体" w:hAnsi="宋体" w:eastAsia="宋体" w:cs="宋体"/>
          <w:snapToGrid w:val="0"/>
          <w:color w:val="auto"/>
          <w:kern w:val="0"/>
          <w:sz w:val="24"/>
          <w:szCs w:val="24"/>
        </w:rPr>
        <w:t>日历天</w:t>
      </w:r>
      <w:r>
        <w:rPr>
          <w:rFonts w:hint="eastAsia" w:ascii="宋体" w:hAnsi="宋体" w:cs="宋体"/>
          <w:snapToGrid w:val="0"/>
          <w:color w:val="auto"/>
          <w:kern w:val="0"/>
          <w:sz w:val="24"/>
          <w:szCs w:val="24"/>
          <w:lang w:eastAsia="zh-CN"/>
        </w:rPr>
        <w:t>。</w:t>
      </w:r>
    </w:p>
    <w:p w14:paraId="5D1CD41B">
      <w:pPr>
        <w:pStyle w:val="5"/>
        <w:wordWrap w:val="0"/>
        <w:spacing w:before="0" w:after="0" w:line="360" w:lineRule="auto"/>
        <w:rPr>
          <w:rFonts w:hint="eastAsia" w:ascii="宋体" w:hAnsi="宋体" w:eastAsia="宋体" w:cs="宋体"/>
          <w:bCs w:val="0"/>
          <w:snapToGrid w:val="0"/>
          <w:color w:val="auto"/>
          <w:sz w:val="24"/>
          <w:szCs w:val="24"/>
        </w:rPr>
      </w:pPr>
      <w:r>
        <w:rPr>
          <w:rFonts w:hint="eastAsia" w:ascii="宋体" w:hAnsi="宋体" w:eastAsia="宋体" w:cs="宋体"/>
          <w:bCs w:val="0"/>
          <w:snapToGrid w:val="0"/>
          <w:color w:val="auto"/>
          <w:sz w:val="24"/>
          <w:szCs w:val="24"/>
        </w:rPr>
        <w:t>3、</w:t>
      </w:r>
      <w:r>
        <w:rPr>
          <w:rFonts w:hint="eastAsia" w:ascii="宋体" w:hAnsi="宋体" w:eastAsia="宋体" w:cs="宋体"/>
          <w:bCs w:val="0"/>
          <w:snapToGrid w:val="0"/>
          <w:color w:val="auto"/>
          <w:sz w:val="24"/>
          <w:szCs w:val="24"/>
          <w:lang w:val="en-US" w:eastAsia="zh-CN"/>
        </w:rPr>
        <w:t>报价人</w:t>
      </w:r>
      <w:r>
        <w:rPr>
          <w:rFonts w:hint="eastAsia" w:ascii="宋体" w:hAnsi="宋体" w:eastAsia="宋体" w:cs="宋体"/>
          <w:bCs w:val="0"/>
          <w:snapToGrid w:val="0"/>
          <w:color w:val="auto"/>
          <w:sz w:val="24"/>
          <w:szCs w:val="24"/>
        </w:rPr>
        <w:t>资格要求</w:t>
      </w:r>
      <w:bookmarkEnd w:id="24"/>
    </w:p>
    <w:p w14:paraId="30FC070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本次比选实行资格后审，</w:t>
      </w:r>
      <w:r>
        <w:rPr>
          <w:rFonts w:hint="eastAsia" w:ascii="宋体" w:hAnsi="宋体" w:cs="宋体"/>
          <w:color w:val="auto"/>
          <w:sz w:val="24"/>
          <w:szCs w:val="24"/>
          <w:lang w:val="en-US" w:eastAsia="zh-CN"/>
        </w:rPr>
        <w:t>报价人</w:t>
      </w:r>
      <w:r>
        <w:rPr>
          <w:rFonts w:hint="eastAsia" w:ascii="宋体" w:hAnsi="宋体" w:eastAsia="宋体" w:cs="宋体"/>
          <w:color w:val="auto"/>
          <w:sz w:val="24"/>
          <w:szCs w:val="24"/>
        </w:rPr>
        <w:t>应满足下列资格条件：</w:t>
      </w:r>
    </w:p>
    <w:p w14:paraId="2A26B2BA">
      <w:pPr>
        <w:widowControl/>
        <w:spacing w:line="360" w:lineRule="auto"/>
        <w:ind w:firstLine="480" w:firstLineChars="200"/>
        <w:jc w:val="left"/>
        <w:rPr>
          <w:rFonts w:hint="eastAsia" w:ascii="宋体" w:hAnsi="宋体" w:eastAsia="宋体" w:cs="宋体"/>
          <w:snapToGrid w:val="0"/>
          <w:color w:val="auto"/>
          <w:kern w:val="0"/>
          <w:sz w:val="24"/>
          <w:szCs w:val="24"/>
        </w:rPr>
      </w:pPr>
      <w:bookmarkStart w:id="29" w:name="_Toc30948"/>
      <w:r>
        <w:rPr>
          <w:rFonts w:hint="eastAsia" w:ascii="宋体" w:hAnsi="宋体" w:eastAsia="宋体" w:cs="宋体"/>
          <w:snapToGrid w:val="0"/>
          <w:color w:val="auto"/>
          <w:kern w:val="0"/>
          <w:sz w:val="24"/>
          <w:szCs w:val="24"/>
        </w:rPr>
        <w:t>3.</w:t>
      </w:r>
      <w:r>
        <w:rPr>
          <w:rFonts w:hint="eastAsia" w:ascii="宋体" w:hAnsi="宋体" w:eastAsia="宋体" w:cs="宋体"/>
          <w:snapToGrid w:val="0"/>
          <w:color w:val="auto"/>
          <w:kern w:val="0"/>
          <w:sz w:val="24"/>
          <w:szCs w:val="24"/>
          <w:lang w:val="en-US" w:eastAsia="zh-CN"/>
        </w:rPr>
        <w:t>1报价人</w:t>
      </w:r>
      <w:r>
        <w:rPr>
          <w:rFonts w:hint="eastAsia" w:ascii="宋体" w:hAnsi="宋体" w:eastAsia="宋体" w:cs="宋体"/>
          <w:snapToGrid w:val="0"/>
          <w:color w:val="auto"/>
          <w:kern w:val="0"/>
          <w:sz w:val="24"/>
          <w:szCs w:val="24"/>
        </w:rPr>
        <w:t>具备建设行政主管部门颁发的工程设计建筑行业（建筑工程）乙级及以上资质。</w:t>
      </w:r>
    </w:p>
    <w:p w14:paraId="3A9D487E">
      <w:pPr>
        <w:widowControl/>
        <w:spacing w:line="360" w:lineRule="auto"/>
        <w:ind w:firstLine="480" w:firstLineChars="200"/>
        <w:jc w:val="left"/>
        <w:rPr>
          <w:rFonts w:hint="eastAsia" w:ascii="宋体" w:hAnsi="宋体" w:eastAsia="宋体" w:cs="宋体"/>
          <w:snapToGrid w:val="0"/>
          <w:color w:val="auto"/>
          <w:kern w:val="0"/>
          <w:sz w:val="24"/>
          <w:szCs w:val="24"/>
          <w:lang w:val="en-US"/>
        </w:rPr>
      </w:pPr>
      <w:r>
        <w:rPr>
          <w:rFonts w:hint="eastAsia" w:ascii="宋体" w:hAnsi="宋体" w:eastAsia="宋体" w:cs="宋体"/>
          <w:snapToGrid w:val="0"/>
          <w:color w:val="auto"/>
          <w:kern w:val="0"/>
          <w:sz w:val="24"/>
          <w:szCs w:val="24"/>
          <w:lang w:val="en-US" w:eastAsia="zh-CN"/>
        </w:rPr>
        <w:t>3.2具备有效独立法人营业执照，还应在人员、技术等方面具有相应的能力。</w:t>
      </w:r>
    </w:p>
    <w:p w14:paraId="67BDC1AB">
      <w:pPr>
        <w:pStyle w:val="5"/>
        <w:wordWrap w:val="0"/>
        <w:spacing w:before="0" w:after="0" w:line="360" w:lineRule="auto"/>
        <w:rPr>
          <w:rFonts w:hint="eastAsia" w:ascii="宋体" w:hAnsi="宋体" w:eastAsia="宋体" w:cs="宋体"/>
          <w:bCs w:val="0"/>
          <w:snapToGrid w:val="0"/>
          <w:color w:val="auto"/>
          <w:sz w:val="24"/>
          <w:szCs w:val="24"/>
          <w:highlight w:val="none"/>
        </w:rPr>
      </w:pPr>
      <w:r>
        <w:rPr>
          <w:rFonts w:hint="eastAsia" w:ascii="宋体" w:hAnsi="宋体" w:eastAsia="宋体" w:cs="宋体"/>
          <w:bCs w:val="0"/>
          <w:snapToGrid w:val="0"/>
          <w:color w:val="auto"/>
          <w:sz w:val="24"/>
          <w:szCs w:val="24"/>
          <w:highlight w:val="none"/>
        </w:rPr>
        <w:t>4、</w:t>
      </w:r>
      <w:r>
        <w:rPr>
          <w:rFonts w:hint="eastAsia" w:ascii="宋体" w:hAnsi="宋体" w:eastAsia="宋体" w:cs="宋体"/>
          <w:bCs w:val="0"/>
          <w:snapToGrid w:val="0"/>
          <w:color w:val="auto"/>
          <w:sz w:val="24"/>
          <w:szCs w:val="24"/>
          <w:highlight w:val="none"/>
          <w:lang w:val="en-US" w:eastAsia="zh-CN"/>
        </w:rPr>
        <w:t>报价文件</w:t>
      </w:r>
      <w:r>
        <w:rPr>
          <w:rFonts w:hint="eastAsia" w:ascii="宋体" w:hAnsi="宋体" w:eastAsia="宋体" w:cs="宋体"/>
          <w:bCs w:val="0"/>
          <w:snapToGrid w:val="0"/>
          <w:color w:val="auto"/>
          <w:sz w:val="24"/>
          <w:szCs w:val="24"/>
          <w:highlight w:val="none"/>
        </w:rPr>
        <w:t>的获取</w:t>
      </w:r>
      <w:bookmarkEnd w:id="29"/>
    </w:p>
    <w:p w14:paraId="60622224">
      <w:pPr>
        <w:spacing w:line="360" w:lineRule="auto"/>
        <w:ind w:firstLine="480" w:firstLineChars="200"/>
        <w:rPr>
          <w:rFonts w:hint="eastAsia" w:ascii="宋体" w:hAnsi="宋体" w:eastAsia="宋体" w:cs="宋体"/>
          <w:color w:val="auto"/>
          <w:sz w:val="24"/>
          <w:szCs w:val="24"/>
          <w:highlight w:val="none"/>
        </w:rPr>
      </w:pPr>
      <w:bookmarkStart w:id="30" w:name="_Toc26810"/>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领取</w:t>
      </w:r>
      <w:r>
        <w:rPr>
          <w:rFonts w:hint="eastAsia" w:ascii="宋体" w:hAnsi="宋体" w:cs="宋体"/>
          <w:color w:val="auto"/>
          <w:sz w:val="24"/>
          <w:szCs w:val="24"/>
          <w:highlight w:val="none"/>
          <w:lang w:val="en-US" w:eastAsia="zh-CN"/>
        </w:rPr>
        <w:t>报价文件</w:t>
      </w:r>
      <w:r>
        <w:rPr>
          <w:rFonts w:hint="eastAsia" w:ascii="宋体" w:hAnsi="宋体" w:eastAsia="宋体" w:cs="宋体"/>
          <w:color w:val="auto"/>
          <w:sz w:val="24"/>
          <w:szCs w:val="24"/>
          <w:highlight w:val="none"/>
        </w:rPr>
        <w:t>流程：本项目</w:t>
      </w:r>
      <w:r>
        <w:rPr>
          <w:rFonts w:hint="eastAsia" w:ascii="宋体" w:hAnsi="宋体" w:cs="宋体"/>
          <w:color w:val="auto"/>
          <w:sz w:val="24"/>
          <w:szCs w:val="24"/>
          <w:highlight w:val="none"/>
          <w:lang w:val="en-US" w:eastAsia="zh-CN"/>
        </w:rPr>
        <w:t>实行公开询价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自询价公告发布之日（2025年7月11日）起，报价人自行在重庆市巴蜀小学校公告栏查阅公告及下载询价文件</w:t>
      </w:r>
      <w:r>
        <w:rPr>
          <w:rFonts w:hint="eastAsia" w:ascii="宋体" w:hAnsi="宋体" w:eastAsia="宋体" w:cs="宋体"/>
          <w:color w:val="auto"/>
          <w:sz w:val="24"/>
          <w:szCs w:val="24"/>
          <w:highlight w:val="none"/>
        </w:rPr>
        <w:t>。</w:t>
      </w:r>
    </w:p>
    <w:p w14:paraId="06B4D31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2报价人</w:t>
      </w:r>
      <w:r>
        <w:rPr>
          <w:rFonts w:hint="eastAsia" w:ascii="宋体" w:hAnsi="宋体" w:cs="宋体"/>
          <w:color w:val="auto"/>
          <w:sz w:val="24"/>
          <w:szCs w:val="24"/>
          <w:lang w:val="en-US" w:eastAsia="zh-CN"/>
        </w:rPr>
        <w:t>下载询价</w:t>
      </w:r>
      <w:r>
        <w:rPr>
          <w:rFonts w:hint="eastAsia" w:ascii="宋体" w:hAnsi="宋体" w:eastAsia="宋体" w:cs="宋体"/>
          <w:color w:val="auto"/>
          <w:sz w:val="24"/>
          <w:szCs w:val="24"/>
        </w:rPr>
        <w:t>文件后，应检查</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文件的所有内容，如有残缺或文字表述不清，有可能出现歧义或理解上的偏差的内容等</w:t>
      </w:r>
      <w:r>
        <w:rPr>
          <w:rFonts w:hint="eastAsia" w:ascii="宋体" w:hAnsi="宋体" w:cs="宋体"/>
          <w:color w:val="auto"/>
          <w:sz w:val="24"/>
          <w:szCs w:val="24"/>
          <w:lang w:val="en-US" w:eastAsia="zh-CN"/>
        </w:rPr>
        <w:t>及时反馈采购人</w:t>
      </w:r>
      <w:r>
        <w:rPr>
          <w:rFonts w:hint="eastAsia" w:ascii="宋体" w:hAnsi="宋体" w:eastAsia="宋体" w:cs="宋体"/>
          <w:color w:val="auto"/>
          <w:sz w:val="24"/>
          <w:szCs w:val="24"/>
        </w:rPr>
        <w:t>。</w:t>
      </w:r>
    </w:p>
    <w:p w14:paraId="55F39B23">
      <w:pPr>
        <w:spacing w:after="78" w:afterLines="25" w:line="30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统一回复答疑和补遗</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w:t>
      </w:r>
      <w:r>
        <w:rPr>
          <w:rFonts w:hint="eastAsia" w:ascii="宋体" w:hAnsi="宋体" w:eastAsia="宋体" w:cs="宋体"/>
          <w:color w:val="auto"/>
          <w:sz w:val="24"/>
          <w:szCs w:val="24"/>
        </w:rPr>
        <w:t>。答疑补遗内容对</w:t>
      </w:r>
      <w:r>
        <w:rPr>
          <w:rFonts w:hint="eastAsia" w:ascii="宋体" w:hAnsi="宋体" w:cs="宋体"/>
          <w:color w:val="auto"/>
          <w:sz w:val="24"/>
          <w:szCs w:val="24"/>
          <w:highlight w:val="none"/>
          <w:lang w:val="en-US" w:eastAsia="zh-CN"/>
        </w:rPr>
        <w:t>报价文件</w:t>
      </w:r>
      <w:r>
        <w:rPr>
          <w:rFonts w:hint="eastAsia" w:ascii="宋体" w:hAnsi="宋体" w:eastAsia="宋体" w:cs="宋体"/>
          <w:color w:val="auto"/>
          <w:sz w:val="24"/>
          <w:szCs w:val="24"/>
        </w:rPr>
        <w:t>编制有重大影响的，</w:t>
      </w:r>
      <w:r>
        <w:rPr>
          <w:rFonts w:hint="eastAsia" w:ascii="宋体" w:hAnsi="宋体" w:cs="宋体"/>
          <w:color w:val="auto"/>
          <w:sz w:val="24"/>
          <w:szCs w:val="24"/>
          <w:lang w:val="en-US" w:eastAsia="zh-CN"/>
        </w:rPr>
        <w:t>报价文件递交</w:t>
      </w:r>
      <w:r>
        <w:rPr>
          <w:rFonts w:hint="eastAsia" w:ascii="宋体" w:hAnsi="宋体" w:eastAsia="宋体" w:cs="宋体"/>
          <w:color w:val="auto"/>
          <w:sz w:val="24"/>
          <w:szCs w:val="24"/>
        </w:rPr>
        <w:t>时间将顺延</w:t>
      </w:r>
      <w:r>
        <w:rPr>
          <w:rFonts w:hint="eastAsia" w:ascii="宋体" w:hAnsi="宋体" w:eastAsia="宋体" w:cs="宋体"/>
          <w:color w:val="auto"/>
          <w:sz w:val="24"/>
          <w:szCs w:val="24"/>
          <w:lang w:eastAsia="zh-CN"/>
        </w:rPr>
        <w:t>。</w:t>
      </w:r>
    </w:p>
    <w:p w14:paraId="3F9AA8C8">
      <w:pPr>
        <w:pStyle w:val="5"/>
        <w:wordWrap w:val="0"/>
        <w:spacing w:before="0" w:after="0" w:line="360" w:lineRule="auto"/>
        <w:rPr>
          <w:rFonts w:hint="eastAsia" w:ascii="宋体" w:hAnsi="宋体" w:eastAsia="宋体" w:cs="宋体"/>
          <w:bCs w:val="0"/>
          <w:snapToGrid w:val="0"/>
          <w:color w:val="auto"/>
          <w:sz w:val="24"/>
          <w:szCs w:val="24"/>
        </w:rPr>
      </w:pPr>
      <w:r>
        <w:rPr>
          <w:rFonts w:hint="eastAsia" w:ascii="宋体" w:hAnsi="宋体" w:eastAsia="宋体" w:cs="宋体"/>
          <w:bCs w:val="0"/>
          <w:snapToGrid w:val="0"/>
          <w:color w:val="auto"/>
          <w:sz w:val="24"/>
          <w:szCs w:val="24"/>
        </w:rPr>
        <w:t>5、</w:t>
      </w:r>
      <w:r>
        <w:rPr>
          <w:rFonts w:hint="eastAsia" w:ascii="宋体" w:hAnsi="宋体" w:eastAsia="宋体" w:cs="宋体"/>
          <w:bCs w:val="0"/>
          <w:snapToGrid w:val="0"/>
          <w:color w:val="auto"/>
          <w:sz w:val="24"/>
          <w:szCs w:val="24"/>
          <w:lang w:val="en-US" w:eastAsia="zh-CN"/>
        </w:rPr>
        <w:t>报价文件</w:t>
      </w:r>
      <w:r>
        <w:rPr>
          <w:rFonts w:hint="eastAsia" w:ascii="宋体" w:hAnsi="宋体" w:eastAsia="宋体" w:cs="宋体"/>
          <w:bCs w:val="0"/>
          <w:snapToGrid w:val="0"/>
          <w:color w:val="auto"/>
          <w:sz w:val="24"/>
          <w:szCs w:val="24"/>
        </w:rPr>
        <w:t>的递交</w:t>
      </w:r>
      <w:bookmarkEnd w:id="30"/>
    </w:p>
    <w:p w14:paraId="6E21E44F">
      <w:pPr>
        <w:spacing w:line="360" w:lineRule="auto"/>
        <w:ind w:left="649" w:leftChars="195" w:hanging="240" w:hangingChars="100"/>
        <w:textAlignment w:val="baseline"/>
        <w:rPr>
          <w:rFonts w:hint="eastAsia" w:ascii="宋体" w:hAnsi="宋体" w:eastAsia="宋体" w:cs="宋体"/>
          <w:i w:val="0"/>
          <w:iCs w:val="0"/>
          <w:color w:val="auto"/>
          <w:sz w:val="24"/>
          <w:szCs w:val="24"/>
          <w:u w:val="single"/>
        </w:rPr>
      </w:pPr>
      <w:r>
        <w:rPr>
          <w:rFonts w:hint="eastAsia" w:ascii="宋体" w:hAnsi="宋体" w:eastAsia="宋体" w:cs="宋体"/>
          <w:color w:val="auto"/>
          <w:sz w:val="24"/>
          <w:szCs w:val="24"/>
        </w:rPr>
        <w:t>5.1</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rPr>
        <w:t>文件递交</w:t>
      </w:r>
      <w:r>
        <w:rPr>
          <w:rFonts w:hint="eastAsia" w:ascii="宋体" w:hAnsi="宋体" w:cs="宋体"/>
          <w:color w:val="auto"/>
          <w:sz w:val="24"/>
          <w:szCs w:val="24"/>
          <w:lang w:val="en-US" w:eastAsia="zh-CN"/>
        </w:rPr>
        <w:t>截止</w:t>
      </w:r>
      <w:r>
        <w:rPr>
          <w:rFonts w:hint="eastAsia" w:ascii="宋体" w:hAnsi="宋体" w:eastAsia="宋体" w:cs="宋体"/>
          <w:color w:val="auto"/>
          <w:sz w:val="24"/>
          <w:szCs w:val="24"/>
        </w:rPr>
        <w:t>时间及地点：</w:t>
      </w:r>
      <w:r>
        <w:rPr>
          <w:rFonts w:hint="eastAsia" w:ascii="宋体" w:hAnsi="宋体" w:eastAsia="宋体" w:cs="宋体"/>
          <w:color w:val="auto"/>
          <w:sz w:val="24"/>
          <w:szCs w:val="24"/>
          <w:u w:val="single"/>
        </w:rPr>
        <w:t>202</w:t>
      </w:r>
      <w:r>
        <w:rPr>
          <w:rFonts w:hint="eastAsia" w:ascii="宋体" w:hAnsi="宋体" w:cs="宋体"/>
          <w:color w:val="auto"/>
          <w:sz w:val="24"/>
          <w:szCs w:val="24"/>
          <w:u w:val="single"/>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16</w:t>
      </w:r>
      <w:r>
        <w:rPr>
          <w:rFonts w:hint="eastAsia" w:ascii="宋体" w:hAnsi="宋体" w:eastAsia="宋体" w:cs="宋体"/>
          <w:color w:val="auto"/>
          <w:sz w:val="24"/>
          <w:szCs w:val="24"/>
        </w:rPr>
        <w:t>日</w:t>
      </w:r>
      <w:r>
        <w:rPr>
          <w:rFonts w:hint="eastAsia" w:ascii="宋体" w:hAnsi="宋体" w:cs="宋体"/>
          <w:color w:val="auto"/>
          <w:sz w:val="24"/>
          <w:szCs w:val="24"/>
          <w:u w:val="single"/>
          <w:lang w:val="en-US" w:eastAsia="zh-CN"/>
        </w:rPr>
        <w:t>15</w:t>
      </w:r>
      <w:r>
        <w:rPr>
          <w:rFonts w:hint="eastAsia" w:ascii="宋体" w:hAnsi="宋体" w:eastAsia="宋体" w:cs="宋体"/>
          <w:color w:val="auto"/>
          <w:sz w:val="24"/>
          <w:szCs w:val="24"/>
        </w:rPr>
        <w:t xml:space="preserve"> 时</w:t>
      </w:r>
      <w:r>
        <w:rPr>
          <w:rFonts w:hint="eastAsia" w:ascii="宋体" w:hAnsi="宋体" w:cs="宋体"/>
          <w:color w:val="auto"/>
          <w:sz w:val="24"/>
          <w:szCs w:val="24"/>
          <w:lang w:val="en-US" w:eastAsia="zh-CN"/>
        </w:rPr>
        <w:t>3</w:t>
      </w:r>
      <w:r>
        <w:rPr>
          <w:rFonts w:hint="eastAsia" w:ascii="宋体" w:hAnsi="宋体" w:eastAsia="宋体" w:cs="宋体"/>
          <w:color w:val="auto"/>
          <w:sz w:val="24"/>
          <w:szCs w:val="24"/>
          <w:u w:val="single"/>
        </w:rPr>
        <w:t>0</w:t>
      </w:r>
      <w:r>
        <w:rPr>
          <w:rFonts w:hint="eastAsia" w:ascii="宋体" w:hAnsi="宋体" w:eastAsia="宋体" w:cs="宋体"/>
          <w:color w:val="auto"/>
          <w:sz w:val="24"/>
          <w:szCs w:val="24"/>
        </w:rPr>
        <w:t>分，地点为</w:t>
      </w:r>
      <w:r>
        <w:rPr>
          <w:rFonts w:hint="eastAsia" w:ascii="宋体" w:hAnsi="宋体" w:eastAsia="宋体" w:cs="宋体"/>
          <w:i w:val="0"/>
          <w:iCs w:val="0"/>
          <w:color w:val="auto"/>
          <w:sz w:val="24"/>
          <w:szCs w:val="24"/>
          <w:u w:val="single"/>
        </w:rPr>
        <w:t>重庆市巴蜀小</w:t>
      </w:r>
    </w:p>
    <w:p w14:paraId="5E6AFD04">
      <w:pPr>
        <w:spacing w:line="360" w:lineRule="auto"/>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olor w:val="auto"/>
          <w:sz w:val="24"/>
          <w:szCs w:val="24"/>
          <w:u w:val="single"/>
        </w:rPr>
        <w:t>学校（渝中区巴教村15号）</w:t>
      </w:r>
      <w:r>
        <w:rPr>
          <w:rFonts w:hint="eastAsia" w:ascii="宋体" w:hAnsi="宋体" w:cs="宋体"/>
          <w:color w:val="auto"/>
          <w:sz w:val="24"/>
          <w:szCs w:val="24"/>
          <w:u w:val="single"/>
          <w:lang w:eastAsia="zh-CN"/>
        </w:rPr>
        <w:t>。</w:t>
      </w:r>
    </w:p>
    <w:p w14:paraId="37EAC668">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5.3逾期送达的或者未送达指定地点的</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rPr>
        <w:t>文件，</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不予受理。</w:t>
      </w:r>
    </w:p>
    <w:p w14:paraId="254C1A41">
      <w:pPr>
        <w:pStyle w:val="5"/>
        <w:wordWrap w:val="0"/>
        <w:spacing w:before="0" w:after="0" w:line="360" w:lineRule="auto"/>
        <w:rPr>
          <w:rFonts w:hint="eastAsia" w:ascii="宋体" w:hAnsi="宋体" w:eastAsia="宋体" w:cs="宋体"/>
          <w:bCs w:val="0"/>
          <w:snapToGrid w:val="0"/>
          <w:color w:val="auto"/>
          <w:sz w:val="24"/>
          <w:szCs w:val="24"/>
        </w:rPr>
      </w:pPr>
      <w:bookmarkStart w:id="31" w:name="_Toc25348"/>
      <w:r>
        <w:rPr>
          <w:rFonts w:hint="eastAsia" w:ascii="宋体" w:hAnsi="宋体" w:eastAsia="宋体" w:cs="宋体"/>
          <w:bCs w:val="0"/>
          <w:snapToGrid w:val="0"/>
          <w:color w:val="auto"/>
          <w:sz w:val="24"/>
          <w:szCs w:val="24"/>
        </w:rPr>
        <w:t>6、开</w:t>
      </w:r>
      <w:r>
        <w:rPr>
          <w:rFonts w:hint="eastAsia" w:ascii="宋体" w:hAnsi="宋体" w:eastAsia="宋体" w:cs="宋体"/>
          <w:bCs w:val="0"/>
          <w:snapToGrid w:val="0"/>
          <w:color w:val="auto"/>
          <w:sz w:val="24"/>
          <w:szCs w:val="24"/>
          <w:lang w:val="en-US" w:eastAsia="zh-CN"/>
        </w:rPr>
        <w:t>选</w:t>
      </w:r>
      <w:r>
        <w:rPr>
          <w:rFonts w:hint="eastAsia" w:ascii="宋体" w:hAnsi="宋体" w:eastAsia="宋体" w:cs="宋体"/>
          <w:bCs w:val="0"/>
          <w:snapToGrid w:val="0"/>
          <w:color w:val="auto"/>
          <w:sz w:val="24"/>
          <w:szCs w:val="24"/>
        </w:rPr>
        <w:t>时间</w:t>
      </w:r>
      <w:bookmarkEnd w:id="31"/>
    </w:p>
    <w:p w14:paraId="756CDA2A">
      <w:pPr>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rPr>
        <w:t>6.1</w:t>
      </w:r>
      <w:r>
        <w:rPr>
          <w:rFonts w:hint="eastAsia" w:ascii="宋体" w:hAnsi="宋体" w:cs="宋体"/>
          <w:snapToGrid w:val="0"/>
          <w:color w:val="auto"/>
          <w:sz w:val="24"/>
          <w:szCs w:val="24"/>
          <w:highlight w:val="none"/>
          <w:lang w:val="en-US" w:eastAsia="zh-CN"/>
        </w:rPr>
        <w:t>评审</w:t>
      </w:r>
      <w:r>
        <w:rPr>
          <w:rFonts w:hint="eastAsia" w:ascii="宋体" w:hAnsi="宋体" w:eastAsia="宋体" w:cs="宋体"/>
          <w:snapToGrid w:val="0"/>
          <w:color w:val="auto"/>
          <w:sz w:val="24"/>
          <w:szCs w:val="24"/>
          <w:highlight w:val="none"/>
        </w:rPr>
        <w:t>时间：202</w:t>
      </w:r>
      <w:r>
        <w:rPr>
          <w:rFonts w:hint="eastAsia" w:ascii="宋体" w:hAnsi="宋体" w:cs="宋体"/>
          <w:snapToGrid w:val="0"/>
          <w:color w:val="auto"/>
          <w:sz w:val="24"/>
          <w:szCs w:val="24"/>
          <w:highlight w:val="none"/>
          <w:lang w:val="en-US" w:eastAsia="zh-CN"/>
        </w:rPr>
        <w:t>5</w:t>
      </w:r>
      <w:r>
        <w:rPr>
          <w:rFonts w:hint="eastAsia" w:ascii="宋体" w:hAnsi="宋体" w:eastAsia="宋体" w:cs="宋体"/>
          <w:snapToGrid w:val="0"/>
          <w:color w:val="auto"/>
          <w:sz w:val="24"/>
          <w:szCs w:val="24"/>
          <w:highlight w:val="none"/>
        </w:rPr>
        <w:t>年</w:t>
      </w:r>
      <w:r>
        <w:rPr>
          <w:rFonts w:hint="eastAsia" w:ascii="宋体" w:hAnsi="宋体" w:cs="宋体"/>
          <w:snapToGrid w:val="0"/>
          <w:color w:val="auto"/>
          <w:sz w:val="24"/>
          <w:szCs w:val="24"/>
          <w:highlight w:val="none"/>
          <w:lang w:val="en-US" w:eastAsia="zh-CN"/>
        </w:rPr>
        <w:t>7</w:t>
      </w:r>
      <w:r>
        <w:rPr>
          <w:rFonts w:hint="eastAsia" w:ascii="宋体" w:hAnsi="宋体" w:eastAsia="宋体" w:cs="宋体"/>
          <w:snapToGrid w:val="0"/>
          <w:color w:val="auto"/>
          <w:sz w:val="24"/>
          <w:szCs w:val="24"/>
          <w:highlight w:val="none"/>
        </w:rPr>
        <w:t>月</w:t>
      </w:r>
      <w:r>
        <w:rPr>
          <w:rFonts w:hint="eastAsia" w:ascii="宋体" w:hAnsi="宋体" w:cs="宋体"/>
          <w:snapToGrid w:val="0"/>
          <w:color w:val="auto"/>
          <w:sz w:val="24"/>
          <w:szCs w:val="24"/>
          <w:highlight w:val="none"/>
          <w:lang w:val="en-US" w:eastAsia="zh-CN"/>
        </w:rPr>
        <w:t>16</w:t>
      </w:r>
      <w:r>
        <w:rPr>
          <w:rFonts w:hint="eastAsia" w:ascii="宋体" w:hAnsi="宋体" w:eastAsia="宋体" w:cs="宋体"/>
          <w:snapToGrid w:val="0"/>
          <w:color w:val="auto"/>
          <w:sz w:val="24"/>
          <w:szCs w:val="24"/>
          <w:highlight w:val="none"/>
        </w:rPr>
        <w:t>日1</w:t>
      </w:r>
      <w:r>
        <w:rPr>
          <w:rFonts w:hint="eastAsia" w:ascii="宋体" w:hAnsi="宋体" w:cs="宋体"/>
          <w:snapToGrid w:val="0"/>
          <w:color w:val="auto"/>
          <w:sz w:val="24"/>
          <w:szCs w:val="24"/>
          <w:highlight w:val="none"/>
          <w:lang w:val="en-US" w:eastAsia="zh-CN"/>
        </w:rPr>
        <w:t>5</w:t>
      </w:r>
      <w:r>
        <w:rPr>
          <w:rFonts w:hint="eastAsia" w:ascii="宋体" w:hAnsi="宋体" w:eastAsia="宋体" w:cs="宋体"/>
          <w:snapToGrid w:val="0"/>
          <w:color w:val="auto"/>
          <w:sz w:val="24"/>
          <w:szCs w:val="24"/>
          <w:highlight w:val="none"/>
        </w:rPr>
        <w:t>时</w:t>
      </w:r>
      <w:r>
        <w:rPr>
          <w:rFonts w:hint="eastAsia" w:ascii="宋体" w:hAnsi="宋体" w:cs="宋体"/>
          <w:snapToGrid w:val="0"/>
          <w:color w:val="auto"/>
          <w:sz w:val="24"/>
          <w:szCs w:val="24"/>
          <w:highlight w:val="none"/>
          <w:lang w:val="en-US" w:eastAsia="zh-CN"/>
        </w:rPr>
        <w:t>3</w:t>
      </w:r>
      <w:r>
        <w:rPr>
          <w:rFonts w:hint="eastAsia" w:ascii="宋体" w:hAnsi="宋体" w:eastAsia="宋体" w:cs="宋体"/>
          <w:snapToGrid w:val="0"/>
          <w:color w:val="auto"/>
          <w:sz w:val="24"/>
          <w:szCs w:val="24"/>
          <w:highlight w:val="none"/>
        </w:rPr>
        <w:t>0分</w:t>
      </w:r>
    </w:p>
    <w:p w14:paraId="4F48E4FD">
      <w:pPr>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6.2</w:t>
      </w:r>
      <w:r>
        <w:rPr>
          <w:rFonts w:hint="eastAsia" w:ascii="宋体" w:hAnsi="宋体" w:cs="宋体"/>
          <w:snapToGrid w:val="0"/>
          <w:color w:val="auto"/>
          <w:sz w:val="24"/>
          <w:szCs w:val="24"/>
          <w:highlight w:val="none"/>
          <w:lang w:val="en-US" w:eastAsia="zh-CN"/>
        </w:rPr>
        <w:t>评审</w:t>
      </w:r>
      <w:r>
        <w:rPr>
          <w:rFonts w:hint="eastAsia" w:ascii="宋体" w:hAnsi="宋体" w:eastAsia="宋体" w:cs="宋体"/>
          <w:snapToGrid w:val="0"/>
          <w:color w:val="auto"/>
          <w:sz w:val="24"/>
          <w:szCs w:val="24"/>
          <w:highlight w:val="none"/>
        </w:rPr>
        <w:t>地点：</w:t>
      </w:r>
      <w:r>
        <w:rPr>
          <w:rFonts w:hint="eastAsia" w:ascii="宋体" w:hAnsi="宋体" w:eastAsia="宋体" w:cs="宋体"/>
          <w:snapToGrid w:val="0"/>
          <w:color w:val="auto"/>
          <w:sz w:val="24"/>
          <w:szCs w:val="24"/>
          <w:highlight w:val="none"/>
          <w:u w:val="none"/>
        </w:rPr>
        <w:t>重庆市巴蜀小学校（渝中区巴教村15号）</w:t>
      </w:r>
      <w:r>
        <w:rPr>
          <w:rFonts w:hint="eastAsia" w:ascii="宋体" w:hAnsi="宋体" w:eastAsia="宋体" w:cs="宋体"/>
          <w:color w:val="auto"/>
          <w:sz w:val="24"/>
          <w:szCs w:val="24"/>
          <w:u w:val="none"/>
        </w:rPr>
        <w:t>会议室</w:t>
      </w:r>
    </w:p>
    <w:p w14:paraId="0FE277D9">
      <w:pPr>
        <w:pStyle w:val="5"/>
        <w:wordWrap w:val="0"/>
        <w:spacing w:before="0" w:after="0" w:line="360" w:lineRule="auto"/>
        <w:rPr>
          <w:rFonts w:hint="eastAsia" w:ascii="宋体" w:hAnsi="宋体" w:eastAsia="宋体" w:cs="宋体"/>
          <w:bCs w:val="0"/>
          <w:snapToGrid w:val="0"/>
          <w:color w:val="auto"/>
          <w:sz w:val="24"/>
          <w:szCs w:val="24"/>
          <w:highlight w:val="none"/>
        </w:rPr>
      </w:pPr>
      <w:bookmarkStart w:id="32" w:name="_Toc8053"/>
      <w:r>
        <w:rPr>
          <w:rFonts w:hint="eastAsia" w:ascii="宋体" w:hAnsi="宋体" w:eastAsia="宋体" w:cs="宋体"/>
          <w:bCs w:val="0"/>
          <w:snapToGrid w:val="0"/>
          <w:color w:val="auto"/>
          <w:sz w:val="24"/>
          <w:szCs w:val="24"/>
          <w:highlight w:val="none"/>
          <w:lang w:val="en-US" w:eastAsia="zh-CN"/>
        </w:rPr>
        <w:t>7</w:t>
      </w:r>
      <w:r>
        <w:rPr>
          <w:rFonts w:hint="eastAsia" w:ascii="宋体" w:hAnsi="宋体" w:eastAsia="宋体" w:cs="宋体"/>
          <w:bCs w:val="0"/>
          <w:snapToGrid w:val="0"/>
          <w:color w:val="auto"/>
          <w:sz w:val="24"/>
          <w:szCs w:val="24"/>
          <w:highlight w:val="none"/>
        </w:rPr>
        <w:t>、联系方式</w:t>
      </w:r>
      <w:bookmarkEnd w:id="32"/>
      <w:bookmarkStart w:id="33" w:name="_GoBack"/>
      <w:bookmarkEnd w:id="33"/>
    </w:p>
    <w:p w14:paraId="238E8D74">
      <w:pPr>
        <w:spacing w:line="360" w:lineRule="auto"/>
        <w:ind w:firstLine="600" w:firstLineChars="250"/>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重庆市巴蜀小学校</w:t>
      </w:r>
    </w:p>
    <w:p w14:paraId="740AA681">
      <w:pPr>
        <w:spacing w:line="360" w:lineRule="auto"/>
        <w:ind w:firstLine="600" w:firstLineChars="2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地址：重庆市巴蜀小学校（渝中区巴教村15号） </w:t>
      </w:r>
    </w:p>
    <w:p w14:paraId="37969273">
      <w:pPr>
        <w:spacing w:line="360" w:lineRule="auto"/>
        <w:ind w:firstLine="600" w:firstLineChars="25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罗军</w:t>
      </w:r>
    </w:p>
    <w:p w14:paraId="6A4CD67D">
      <w:pPr>
        <w:spacing w:line="360" w:lineRule="auto"/>
        <w:ind w:firstLine="600" w:firstLineChars="250"/>
        <w:textAlignment w:val="baseline"/>
        <w:rPr>
          <w:rFonts w:hint="default" w:ascii="宋体" w:hAnsi="宋体" w:eastAsia="宋体" w:cs="宋体"/>
          <w:snapToGrid w:val="0"/>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023-63522229</w:t>
      </w:r>
    </w:p>
    <w:bookmarkEnd w:id="25"/>
    <w:bookmarkEnd w:id="26"/>
    <w:bookmarkEnd w:id="27"/>
    <w:bookmarkEnd w:id="28"/>
    <w:p w14:paraId="067EA9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07652"/>
    <w:rsid w:val="06307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5">
    <w:name w:val="heading 2"/>
    <w:basedOn w:val="1"/>
    <w:next w:val="1"/>
    <w:qFormat/>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6"/>
      <w:szCs w:val="24"/>
      <w:lang w:val="en-US" w:eastAsia="zh-CN" w:bidi="ar-SA"/>
    </w:rPr>
  </w:style>
  <w:style w:type="paragraph" w:customStyle="1" w:styleId="3">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2025-07-24T01:45:00Z</dcterms:created>
  <dc:creator>危危啊</dc:creator>
  <cp:lastModifiedBy>危危啊</cp:lastModifiedBy>
  <dcterms:modified xsi:type="dcterms:W3CDTF">2025-07-24T01:46:12Z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F1CF4C5E82A94338B6E9A977C2B6A886_11</vt:lpwstr>
  </property>
  <property fmtid="{D5CDD505-2E9C-101B-9397-08002B2CF9AE}" pid="4" name="KSOTemplateDocerSaveRecord">
    <vt:lpwstr>eyJoZGlkIjoiZGExM2ZhZTIxMjUxMDdhNGE1ZmJmZGI5YjBmODljNjQiLCJ1c2VySWQiOiIzNzQzOTQ4MDQifQ==</vt:lpwstr>
  </property>
</Properties>
</file>