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tblpXSpec="center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1814"/>
        <w:gridCol w:w="4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852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</w:rPr>
              <w:t>巴蜀小学梦想剧场改造及周边环境综合整治工程方案设计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32"/>
                <w:szCs w:val="32"/>
              </w:rPr>
              <w:t>结果公告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（公告发布时间：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巴蜀小学梦想剧场改造及周边环境综合整治工程方案设计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社会信用代码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1250010345038331XR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人信息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重庆市设计院有限公司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4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915001034503861582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年7 月1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 xml:space="preserve"> 时 30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开标评标地点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重庆市巴蜀小学校（渝中区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巴教村15号）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成交结果公示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1个工作日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金额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 358500.00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2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最高限价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362000.00元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30" w:afterAutospacing="0" w:line="28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333333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ZDE4ZjE1OGYzZDMwZGM4MDRjZjlkNDk4ZmFmZjUifQ=="/>
  </w:docVars>
  <w:rsids>
    <w:rsidRoot w:val="4B553966"/>
    <w:rsid w:val="0E6C7451"/>
    <w:rsid w:val="136C3A6D"/>
    <w:rsid w:val="21493A07"/>
    <w:rsid w:val="2A31682E"/>
    <w:rsid w:val="4B553966"/>
    <w:rsid w:val="545D1FA1"/>
    <w:rsid w:val="5D0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341</Characters>
  <Lines>0</Lines>
  <Paragraphs>0</Paragraphs>
  <TotalTime>0</TotalTime>
  <ScaleCrop>false</ScaleCrop>
  <LinksUpToDate>false</LinksUpToDate>
  <CharactersWithSpaces>354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2024-07-18T05:54:00Z</dcterms:created>
  <dc:creator>代理</dc:creator>
  <cp:lastModifiedBy>H</cp:lastModifiedBy>
  <dcterms:modified xsi:type="dcterms:W3CDTF">2025-07-24T03:23:57Z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0B0C9F9B07324BA2A55C916240C8D3F0_11</vt:lpwstr>
  </property>
  <property fmtid="{D5CDD505-2E9C-101B-9397-08002B2CF9AE}" pid="4" name="KSOTemplateDocerSaveRecord">
    <vt:lpwstr>eyJoZGlkIjoiZGExM2ZhZTIxMjUxMDdhNGE1ZmJmZGI5YjBmODljNjQiLCJ1c2VySWQiOiIzNzQzOTQ4MDQifQ==</vt:lpwstr>
  </property>
</Properties>
</file>